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5F1" w:rsidRDefault="007705F1" w:rsidP="007705F1">
      <w:pPr>
        <w:rPr>
          <w:sz w:val="40"/>
          <w:szCs w:val="40"/>
        </w:rPr>
      </w:pPr>
      <w:r>
        <w:rPr>
          <w:sz w:val="40"/>
          <w:szCs w:val="40"/>
        </w:rPr>
        <w:t>« ВЕСТНИК</w:t>
      </w:r>
    </w:p>
    <w:p w:rsidR="007705F1" w:rsidRDefault="007705F1" w:rsidP="007705F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БЕРГУЛЬСКОГО  СЕЛЬСОВЕТА</w:t>
      </w:r>
      <w:proofErr w:type="gramStart"/>
      <w:r>
        <w:rPr>
          <w:b/>
          <w:sz w:val="40"/>
          <w:szCs w:val="40"/>
        </w:rPr>
        <w:t>.»</w:t>
      </w:r>
      <w:proofErr w:type="gramEnd"/>
    </w:p>
    <w:p w:rsidR="007705F1" w:rsidRDefault="007705F1" w:rsidP="007705F1">
      <w:pPr>
        <w:rPr>
          <w:b/>
          <w:sz w:val="40"/>
          <w:szCs w:val="40"/>
        </w:rPr>
      </w:pPr>
    </w:p>
    <w:p w:rsidR="007705F1" w:rsidRDefault="007705F1" w:rsidP="007705F1">
      <w:pPr>
        <w:rPr>
          <w:b/>
          <w:sz w:val="40"/>
          <w:szCs w:val="40"/>
        </w:rPr>
      </w:pPr>
      <w:r>
        <w:rPr>
          <w:b/>
          <w:sz w:val="40"/>
          <w:szCs w:val="40"/>
        </w:rPr>
        <w:t>От  08.06.2017 г                                           № 19 (197)</w:t>
      </w:r>
    </w:p>
    <w:p w:rsidR="007705F1" w:rsidRDefault="007705F1" w:rsidP="007705F1">
      <w:pPr>
        <w:rPr>
          <w:b/>
          <w:sz w:val="40"/>
          <w:szCs w:val="40"/>
        </w:rPr>
      </w:pPr>
      <w:r>
        <w:rPr>
          <w:b/>
          <w:sz w:val="40"/>
          <w:szCs w:val="40"/>
        </w:rPr>
        <w:t>Тираж:19 экз.</w:t>
      </w:r>
    </w:p>
    <w:p w:rsidR="007705F1" w:rsidRDefault="007705F1" w:rsidP="007705F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Редактор: </w:t>
      </w:r>
      <w:proofErr w:type="spellStart"/>
      <w:r>
        <w:rPr>
          <w:b/>
          <w:sz w:val="40"/>
          <w:szCs w:val="40"/>
        </w:rPr>
        <w:t>Подрядчикова</w:t>
      </w:r>
      <w:proofErr w:type="spellEnd"/>
      <w:r>
        <w:rPr>
          <w:b/>
          <w:sz w:val="40"/>
          <w:szCs w:val="40"/>
        </w:rPr>
        <w:t xml:space="preserve">  Т.С.</w:t>
      </w:r>
    </w:p>
    <w:p w:rsidR="007705F1" w:rsidRDefault="007705F1" w:rsidP="007705F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Адрес: ул. </w:t>
      </w:r>
      <w:proofErr w:type="gramStart"/>
      <w:r>
        <w:rPr>
          <w:b/>
          <w:sz w:val="40"/>
          <w:szCs w:val="40"/>
        </w:rPr>
        <w:t>Центральная</w:t>
      </w:r>
      <w:proofErr w:type="gramEnd"/>
      <w:r>
        <w:rPr>
          <w:b/>
          <w:sz w:val="40"/>
          <w:szCs w:val="40"/>
        </w:rPr>
        <w:t xml:space="preserve">, д.38, с. Бергуль, </w:t>
      </w:r>
    </w:p>
    <w:p w:rsidR="007705F1" w:rsidRDefault="007705F1" w:rsidP="007705F1">
      <w:pPr>
        <w:rPr>
          <w:b/>
          <w:sz w:val="40"/>
          <w:szCs w:val="40"/>
        </w:rPr>
      </w:pPr>
      <w:r>
        <w:rPr>
          <w:b/>
          <w:sz w:val="40"/>
          <w:szCs w:val="40"/>
        </w:rPr>
        <w:t>Северный  район, Новосибирская область.</w:t>
      </w:r>
    </w:p>
    <w:p w:rsidR="007705F1" w:rsidRDefault="007705F1" w:rsidP="007705F1"/>
    <w:p w:rsidR="0070011F" w:rsidRDefault="0070011F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>
      <w:r>
        <w:rPr>
          <w:noProof/>
        </w:rPr>
        <w:drawing>
          <wp:inline distT="0" distB="0" distL="0" distR="0">
            <wp:extent cx="5940425" cy="8334439"/>
            <wp:effectExtent l="19050" t="0" r="3175" b="0"/>
            <wp:docPr id="1" name="Рисунок 1" descr="C:\Users\Admin\Desktop\СКАНЫ 2017\УСТАВ 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2017\УСТАВ 2017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F1" w:rsidRDefault="007705F1"/>
    <w:p w:rsidR="007705F1" w:rsidRDefault="007705F1"/>
    <w:p w:rsidR="007705F1" w:rsidRDefault="007705F1"/>
    <w:p w:rsidR="007705F1" w:rsidRDefault="007705F1">
      <w:r>
        <w:rPr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2" descr="C:\Users\Admin\Desktop\СКАНЫ 2017\УСТАВ 2017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Ы 2017\УСТАВ 2017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>
      <w:r>
        <w:rPr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3" name="Рисунок 3" descr="C:\Users\Admin\Desktop\СКАНЫ 2017\УСТАВ 2017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Ы 2017\УСТАВ 2017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F1" w:rsidRDefault="007705F1"/>
    <w:p w:rsidR="007705F1" w:rsidRDefault="007705F1"/>
    <w:p w:rsidR="007705F1" w:rsidRDefault="007705F1"/>
    <w:p w:rsidR="007705F1" w:rsidRDefault="007705F1"/>
    <w:p w:rsidR="007705F1" w:rsidRDefault="007705F1"/>
    <w:p w:rsidR="007705F1" w:rsidRDefault="007705F1">
      <w:r>
        <w:rPr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4" name="Рисунок 4" descr="C:\Users\Admin\Desktop\СКАНЫ 2017\УСТАВ 2017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Ы 2017\УСТАВ 2017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0C2" w:rsidRDefault="00E050C2"/>
    <w:p w:rsidR="00E050C2" w:rsidRDefault="00E050C2"/>
    <w:p w:rsidR="00E050C2" w:rsidRDefault="00E050C2">
      <w:pPr>
        <w:sectPr w:rsidR="00E050C2" w:rsidSect="007001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50C2" w:rsidRDefault="00E050C2" w:rsidP="00E050C2"/>
    <w:tbl>
      <w:tblPr>
        <w:tblW w:w="0" w:type="auto"/>
        <w:tblLayout w:type="fixed"/>
        <w:tblLook w:val="04A0"/>
      </w:tblPr>
      <w:tblGrid>
        <w:gridCol w:w="5070"/>
        <w:gridCol w:w="283"/>
        <w:gridCol w:w="5103"/>
        <w:gridCol w:w="284"/>
        <w:gridCol w:w="5103"/>
      </w:tblGrid>
      <w:tr w:rsidR="00E050C2" w:rsidTr="00E050C2">
        <w:tc>
          <w:tcPr>
            <w:tcW w:w="5070" w:type="dxa"/>
          </w:tcPr>
          <w:p w:rsidR="00E050C2" w:rsidRDefault="00E050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Уголовный кодекс Российской Федерации рассматривает </w:t>
            </w:r>
            <w:r>
              <w:rPr>
                <w:b/>
                <w:color w:val="C00000"/>
                <w:sz w:val="28"/>
                <w:szCs w:val="28"/>
              </w:rPr>
              <w:t>получение взятки как преступление</w:t>
            </w:r>
            <w:r>
              <w:rPr>
                <w:sz w:val="28"/>
                <w:szCs w:val="28"/>
              </w:rPr>
              <w:t xml:space="preserve">, которое состоит в получении должностным лицом лично или через посредника денег, ценных бумаг, иного имущества или выгод имущественного характера за незаконные действия (бездействие), за действия (бездействие) в пользу взяткодателя или представляемых им лиц, если такие действия (бездействие) входят в служебные полномочия должностного </w:t>
            </w:r>
            <w:proofErr w:type="gramStart"/>
            <w:r>
              <w:rPr>
                <w:sz w:val="28"/>
                <w:szCs w:val="28"/>
              </w:rPr>
              <w:t>лица</w:t>
            </w:r>
            <w:proofErr w:type="gramEnd"/>
            <w:r>
              <w:rPr>
                <w:sz w:val="28"/>
                <w:szCs w:val="28"/>
              </w:rPr>
              <w:t xml:space="preserve"> либо оно в силу должностного положения может способствовать таким действиям (бездействию), а равно за общее покровительство или попустительство по службе (ст. 290 УК РФ).</w:t>
            </w:r>
          </w:p>
          <w:p w:rsidR="00E050C2" w:rsidRDefault="00E050C2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</w:p>
          <w:p w:rsidR="00E050C2" w:rsidRDefault="00E050C2">
            <w:pPr>
              <w:pStyle w:val="ConsPlusNormal"/>
              <w:ind w:firstLine="54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Уголовная ответственность также установлена за дачу взятки должностному лицу, </w:t>
            </w:r>
            <w:hyperlink r:id="rId8" w:history="1">
              <w:r>
                <w:rPr>
                  <w:rStyle w:val="a9"/>
                  <w:sz w:val="28"/>
                  <w:szCs w:val="28"/>
                </w:rPr>
                <w:t>иностранному должностному лицу</w:t>
              </w:r>
            </w:hyperlink>
            <w:r>
              <w:rPr>
                <w:sz w:val="28"/>
                <w:szCs w:val="28"/>
              </w:rPr>
              <w:t xml:space="preserve"> либо </w:t>
            </w:r>
            <w:hyperlink r:id="rId9" w:history="1">
              <w:r>
                <w:rPr>
                  <w:rStyle w:val="a9"/>
                  <w:sz w:val="28"/>
                  <w:szCs w:val="28"/>
                </w:rPr>
                <w:t>должностному лицу публичной международной организации</w:t>
              </w:r>
            </w:hyperlink>
            <w:r>
              <w:rPr>
                <w:sz w:val="28"/>
                <w:szCs w:val="28"/>
              </w:rPr>
              <w:t xml:space="preserve"> лично или через посредника (ст. 291 УК РФ) и за посредничество во взяточничестве (ст. 291.1 УК РФ).</w:t>
            </w:r>
          </w:p>
          <w:p w:rsidR="00E050C2" w:rsidRDefault="00E050C2">
            <w:pPr>
              <w:pStyle w:val="ConsPlusNormal"/>
              <w:ind w:firstLine="540"/>
              <w:jc w:val="both"/>
              <w:outlineLvl w:val="0"/>
              <w:rPr>
                <w:sz w:val="28"/>
                <w:szCs w:val="28"/>
              </w:rPr>
            </w:pPr>
          </w:p>
          <w:p w:rsidR="00E050C2" w:rsidRDefault="00E050C2">
            <w:pPr>
              <w:pStyle w:val="ConsPlusNormal"/>
              <w:ind w:firstLine="540"/>
              <w:jc w:val="both"/>
              <w:outlineLvl w:val="0"/>
              <w:rPr>
                <w:sz w:val="28"/>
                <w:szCs w:val="28"/>
              </w:rPr>
            </w:pPr>
          </w:p>
          <w:p w:rsidR="00E050C2" w:rsidRDefault="00E050C2">
            <w:pPr>
              <w:pStyle w:val="ConsPlusNormal"/>
              <w:ind w:firstLine="540"/>
              <w:jc w:val="both"/>
              <w:outlineLvl w:val="0"/>
              <w:rPr>
                <w:sz w:val="28"/>
                <w:szCs w:val="28"/>
              </w:rPr>
            </w:pPr>
          </w:p>
          <w:p w:rsidR="00E050C2" w:rsidRDefault="00E050C2">
            <w:pPr>
              <w:pStyle w:val="ConsPlusNormal"/>
              <w:ind w:firstLine="540"/>
              <w:jc w:val="both"/>
              <w:outlineLvl w:val="0"/>
              <w:rPr>
                <w:sz w:val="28"/>
                <w:szCs w:val="28"/>
              </w:rPr>
            </w:pPr>
          </w:p>
          <w:p w:rsidR="00E050C2" w:rsidRDefault="00E050C2">
            <w:pPr>
              <w:pStyle w:val="ConsPlusNormal"/>
              <w:jc w:val="both"/>
              <w:outlineLvl w:val="0"/>
              <w:rPr>
                <w:sz w:val="28"/>
                <w:szCs w:val="28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      Чем взятка отличается от подарка?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b/>
                <w:bCs/>
                <w:sz w:val="28"/>
                <w:szCs w:val="28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</w:rPr>
              <w:t xml:space="preserve">    </w:t>
            </w:r>
            <w:r>
              <w:rPr>
                <w:rFonts w:cs="Times New Roman"/>
                <w:sz w:val="28"/>
                <w:szCs w:val="28"/>
                <w:lang w:eastAsia="ru-RU"/>
              </w:rPr>
              <w:t>Федеральным законом от 27.07.2004 №79-ФЗ  «О государственной гражданской службе Российской Федерации» государственным служащим запрещено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 (</w:t>
            </w:r>
            <w:proofErr w:type="spellStart"/>
            <w:r>
              <w:rPr>
                <w:rFonts w:cs="Times New Roman"/>
                <w:sz w:val="28"/>
                <w:szCs w:val="28"/>
                <w:lang w:eastAsia="ru-RU"/>
              </w:rPr>
              <w:t>пп</w:t>
            </w:r>
            <w:proofErr w:type="spellEnd"/>
            <w:r>
              <w:rPr>
                <w:rFonts w:cs="Times New Roman"/>
                <w:sz w:val="28"/>
                <w:szCs w:val="28"/>
                <w:lang w:eastAsia="ru-RU"/>
              </w:rPr>
              <w:t xml:space="preserve">. 6 п. 1 ст. 17). 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cs="Times New Roman"/>
                <w:b/>
                <w:color w:val="C00000"/>
                <w:sz w:val="28"/>
                <w:szCs w:val="28"/>
                <w:lang w:eastAsia="ru-RU"/>
              </w:rPr>
              <w:t>Исключение составляют обычные подарки, стоимость которых не превышает трех тысяч рублей</w:t>
            </w:r>
            <w:r>
              <w:rPr>
                <w:rFonts w:cs="Times New Roman"/>
                <w:sz w:val="28"/>
                <w:szCs w:val="28"/>
                <w:lang w:eastAsia="ru-RU"/>
              </w:rPr>
              <w:t xml:space="preserve"> (ст. 575 ГК РФ).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16"/>
                <w:szCs w:val="16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 xml:space="preserve">    Запрет не распространяется на случаи дарения в связи с протокольными мероприятиями, служебными </w:t>
            </w:r>
            <w:r>
              <w:rPr>
                <w:rFonts w:cs="Times New Roman"/>
                <w:sz w:val="28"/>
                <w:szCs w:val="28"/>
                <w:lang w:eastAsia="ru-RU"/>
              </w:rPr>
              <w:lastRenderedPageBreak/>
              <w:t xml:space="preserve">командировками и другими официальными мероприятиями. 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center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409700"/>
                  <wp:effectExtent l="19050" t="0" r="9525" b="0"/>
                  <wp:docPr id="9" name="Рисунок 2" descr="Описание: http://profuchet.by/sites/default/files/styles/rectangle-large/public/acquia/blog/misc/blogentry-90243-1236922425_0.jpg?itok=D0U0em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profuchet.by/sites/default/files/styles/rectangle-large/public/acquia/blog/misc/blogentry-90243-1236922425_0.jpg?itok=D0U0em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16"/>
                <w:szCs w:val="16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7"/>
                <w:szCs w:val="27"/>
                <w:lang w:eastAsia="ru-RU"/>
              </w:rPr>
            </w:pPr>
          </w:p>
          <w:p w:rsidR="00E050C2" w:rsidRDefault="00E050C2">
            <w:pPr>
              <w:pStyle w:val="a5"/>
              <w:jc w:val="both"/>
              <w:rPr>
                <w:rFonts w:cs="Times New Roman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sz w:val="23"/>
                <w:szCs w:val="23"/>
              </w:rPr>
            </w:pPr>
          </w:p>
          <w:p w:rsidR="00E050C2" w:rsidRDefault="00E050C2">
            <w:pPr>
              <w:pStyle w:val="a8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3" w:type="dxa"/>
            <w:hideMark/>
          </w:tcPr>
          <w:p w:rsidR="00E050C2" w:rsidRDefault="00E050C2">
            <w:pPr>
              <w:suppressAutoHyphens/>
              <w:snapToGrid w:val="0"/>
              <w:jc w:val="both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lastRenderedPageBreak/>
              <w:t xml:space="preserve"> </w:t>
            </w:r>
          </w:p>
        </w:tc>
        <w:tc>
          <w:tcPr>
            <w:tcW w:w="5103" w:type="dxa"/>
          </w:tcPr>
          <w:p w:rsidR="00E050C2" w:rsidRDefault="00E050C2">
            <w:pPr>
              <w:pStyle w:val="ConsPlusNormal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Таким образом, понятия </w:t>
            </w:r>
            <w:r>
              <w:rPr>
                <w:b/>
                <w:color w:val="C00000"/>
                <w:sz w:val="28"/>
                <w:szCs w:val="28"/>
              </w:rPr>
              <w:t xml:space="preserve">«взятка» и «подарок» независимо от размера и стоимости не пересекаются, </w:t>
            </w:r>
            <w:r>
              <w:rPr>
                <w:sz w:val="28"/>
                <w:szCs w:val="28"/>
              </w:rPr>
              <w:t>а ст. 290 Уголовного кодекса Российской Федерации и ст. 575 Гражданского кодекса Российской Федерации регулируют различные отношения</w:t>
            </w:r>
          </w:p>
          <w:p w:rsidR="00E050C2" w:rsidRDefault="00E050C2">
            <w:pPr>
              <w:pStyle w:val="a8"/>
              <w:jc w:val="both"/>
            </w:pPr>
          </w:p>
          <w:p w:rsidR="00E050C2" w:rsidRDefault="00E050C2">
            <w:pPr>
              <w:pStyle w:val="a8"/>
              <w:jc w:val="both"/>
            </w:pPr>
          </w:p>
          <w:p w:rsidR="00E050C2" w:rsidRDefault="00E050C2">
            <w:pPr>
              <w:pStyle w:val="a8"/>
              <w:jc w:val="both"/>
            </w:pPr>
          </w:p>
          <w:p w:rsidR="00E050C2" w:rsidRDefault="00E050C2">
            <w:pPr>
              <w:pStyle w:val="a8"/>
              <w:jc w:val="both"/>
            </w:pPr>
          </w:p>
          <w:p w:rsidR="00E050C2" w:rsidRDefault="00E050C2">
            <w:pPr>
              <w:pStyle w:val="a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809750"/>
                  <wp:effectExtent l="19050" t="0" r="9525" b="0"/>
                  <wp:docPr id="8" name="Рисунок 10" descr="Описание: https://im1-tub-ru.yandex.net/i?id=112dcf6bc2880773877ede9ced1aefa3&amp;n=33&amp;h=215&amp;w=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im1-tub-ru.yandex.net/i?id=112dcf6bc2880773877ede9ced1aefa3&amp;n=33&amp;h=215&amp;w=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C2" w:rsidRDefault="00E050C2">
            <w:pPr>
              <w:pStyle w:val="a8"/>
              <w:jc w:val="both"/>
            </w:pPr>
          </w:p>
          <w:p w:rsidR="00E050C2" w:rsidRDefault="00E050C2">
            <w:pPr>
              <w:pStyle w:val="a5"/>
              <w:tabs>
                <w:tab w:val="left" w:pos="0"/>
              </w:tabs>
              <w:spacing w:before="0" w:after="0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        </w:t>
            </w:r>
          </w:p>
          <w:p w:rsidR="00E050C2" w:rsidRDefault="00E050C2">
            <w:pPr>
              <w:pStyle w:val="a5"/>
              <w:tabs>
                <w:tab w:val="left" w:pos="0"/>
              </w:tabs>
              <w:spacing w:before="0" w:after="0"/>
              <w:jc w:val="both"/>
              <w:rPr>
                <w:bCs/>
                <w:sz w:val="23"/>
                <w:szCs w:val="23"/>
              </w:rPr>
            </w:pPr>
          </w:p>
          <w:p w:rsidR="00E050C2" w:rsidRDefault="00E050C2">
            <w:pPr>
              <w:pStyle w:val="a5"/>
              <w:tabs>
                <w:tab w:val="left" w:pos="0"/>
              </w:tabs>
              <w:spacing w:before="0" w:after="0"/>
              <w:jc w:val="both"/>
              <w:rPr>
                <w:bCs/>
                <w:sz w:val="23"/>
                <w:szCs w:val="23"/>
              </w:rPr>
            </w:pPr>
          </w:p>
          <w:p w:rsidR="00E050C2" w:rsidRDefault="00E050C2">
            <w:pPr>
              <w:pStyle w:val="a5"/>
              <w:tabs>
                <w:tab w:val="left" w:pos="0"/>
              </w:tabs>
              <w:spacing w:before="0" w:after="0"/>
              <w:jc w:val="both"/>
              <w:rPr>
                <w:bCs/>
                <w:sz w:val="23"/>
                <w:szCs w:val="23"/>
              </w:rPr>
            </w:pPr>
          </w:p>
          <w:p w:rsidR="00E050C2" w:rsidRDefault="00E050C2">
            <w:pPr>
              <w:pStyle w:val="a8"/>
              <w:jc w:val="both"/>
            </w:pPr>
          </w:p>
          <w:p w:rsidR="00E050C2" w:rsidRDefault="00E050C2"/>
          <w:p w:rsidR="00E050C2" w:rsidRDefault="00E050C2"/>
          <w:p w:rsidR="00E050C2" w:rsidRDefault="00E050C2"/>
          <w:p w:rsidR="00E050C2" w:rsidRDefault="00E050C2">
            <w:pPr>
              <w:rPr>
                <w:b/>
                <w:i/>
              </w:rPr>
            </w:pPr>
          </w:p>
          <w:p w:rsidR="00E050C2" w:rsidRDefault="00E050C2">
            <w:pPr>
              <w:rPr>
                <w:i/>
                <w:lang w:val="en-US"/>
              </w:rPr>
            </w:pPr>
          </w:p>
          <w:p w:rsidR="00E050C2" w:rsidRDefault="00E050C2">
            <w:pPr>
              <w:rPr>
                <w:i/>
                <w:lang w:val="en-US"/>
              </w:rPr>
            </w:pPr>
          </w:p>
          <w:p w:rsidR="00E050C2" w:rsidRDefault="00E050C2">
            <w:pPr>
              <w:rPr>
                <w:i/>
                <w:lang w:val="en-US"/>
              </w:rPr>
            </w:pPr>
          </w:p>
          <w:p w:rsidR="00E050C2" w:rsidRDefault="00E050C2">
            <w:pPr>
              <w:rPr>
                <w:i/>
                <w:lang w:val="en-US"/>
              </w:rPr>
            </w:pPr>
          </w:p>
          <w:p w:rsidR="00E050C2" w:rsidRDefault="00E050C2">
            <w:pPr>
              <w:rPr>
                <w:i/>
                <w:lang w:val="en-US"/>
              </w:rPr>
            </w:pPr>
          </w:p>
          <w:p w:rsidR="00E050C2" w:rsidRDefault="00E050C2">
            <w:pPr>
              <w:rPr>
                <w:i/>
                <w:lang w:val="en-US"/>
              </w:rPr>
            </w:pPr>
          </w:p>
          <w:p w:rsidR="00E050C2" w:rsidRDefault="00E050C2">
            <w:pPr>
              <w:rPr>
                <w:i/>
                <w:lang w:val="en-US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 xml:space="preserve">        Такие подарки признаются соответственно федеральной собственностью или собственностью субъекта Российской Федерации, передаются по акту в государственный орган, где замещает должность служащий. После он имеет возможность выкупить такой подарок.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cs="Times New Roman"/>
                <w:b/>
                <w:color w:val="C00000"/>
                <w:sz w:val="28"/>
                <w:szCs w:val="28"/>
                <w:lang w:eastAsia="ru-RU"/>
              </w:rPr>
              <w:t>Кто не может выступать в качестве дарителя?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 xml:space="preserve">     Даритель не должен быть зависим от одариваемого, в том числе в форме лечения, содержания, воспитания, должностного положения, исполнения должностных обязанностей.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b/>
                <w:color w:val="C00000"/>
                <w:sz w:val="28"/>
                <w:szCs w:val="28"/>
                <w:lang w:eastAsia="ru-RU"/>
              </w:rPr>
              <w:t xml:space="preserve">      Основным отличием подарка от взятки является его безвозмездность</w:t>
            </w:r>
            <w:r>
              <w:rPr>
                <w:rFonts w:cs="Times New Roman"/>
                <w:sz w:val="28"/>
                <w:szCs w:val="28"/>
                <w:lang w:eastAsia="ru-RU"/>
              </w:rPr>
              <w:t xml:space="preserve"> –  передавая подарок, даритель ничего не пытается получить взамен, в том числе какие – либо ответные действия </w:t>
            </w:r>
            <w:r>
              <w:rPr>
                <w:rFonts w:cs="Times New Roman"/>
                <w:sz w:val="28"/>
                <w:szCs w:val="28"/>
                <w:lang w:eastAsia="ru-RU"/>
              </w:rPr>
              <w:lastRenderedPageBreak/>
              <w:t>(бездействие) в его интересах со стороны должностного лица в связи с его служебным положением.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 xml:space="preserve">     Подарок вручается служащему за его морально-нравственные, </w:t>
            </w:r>
            <w:proofErr w:type="spellStart"/>
            <w:r>
              <w:rPr>
                <w:rFonts w:cs="Times New Roman"/>
                <w:sz w:val="28"/>
                <w:szCs w:val="28"/>
                <w:lang w:eastAsia="ru-RU"/>
              </w:rPr>
              <w:t>профес-сионально-этические</w:t>
            </w:r>
            <w:proofErr w:type="spellEnd"/>
            <w:r>
              <w:rPr>
                <w:rFonts w:cs="Times New Roman"/>
                <w:sz w:val="28"/>
                <w:szCs w:val="28"/>
                <w:lang w:eastAsia="ru-RU"/>
              </w:rPr>
              <w:t xml:space="preserve"> качества и не связан с выполнением или невыполнением какого-либо действия (бездействия) по службе.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7"/>
                <w:szCs w:val="27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center"/>
            </w:pPr>
          </w:p>
        </w:tc>
        <w:tc>
          <w:tcPr>
            <w:tcW w:w="284" w:type="dxa"/>
          </w:tcPr>
          <w:p w:rsidR="00E050C2" w:rsidRDefault="00E050C2">
            <w:pPr>
              <w:suppressAutoHyphens/>
              <w:snapToGrid w:val="0"/>
              <w:jc w:val="both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5103" w:type="dxa"/>
          </w:tcPr>
          <w:p w:rsidR="00E050C2" w:rsidRDefault="00E050C2">
            <w:pPr>
              <w:snapToGrid w:val="0"/>
              <w:jc w:val="center"/>
              <w:rPr>
                <w:rFonts w:ascii="Calibri" w:eastAsia="Calibri" w:hAnsi="Calibri" w:cs="Calibri"/>
                <w:lang w:eastAsia="ar-SA"/>
              </w:rPr>
            </w:pPr>
          </w:p>
          <w:p w:rsidR="00E050C2" w:rsidRDefault="00E05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Прокуратура Северного района</w:t>
            </w:r>
          </w:p>
          <w:p w:rsidR="00E050C2" w:rsidRDefault="00E050C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050C2" w:rsidRDefault="00E050C2">
            <w:pPr>
              <w:jc w:val="center"/>
            </w:pPr>
          </w:p>
          <w:p w:rsidR="00E050C2" w:rsidRDefault="00E050C2">
            <w:pPr>
              <w:jc w:val="center"/>
            </w:pPr>
          </w:p>
          <w:p w:rsidR="00E050C2" w:rsidRDefault="00E050C2">
            <w:pPr>
              <w:jc w:val="center"/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076325" cy="1085850"/>
                  <wp:effectExtent l="19050" t="0" r="9525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C2" w:rsidRDefault="00E050C2"/>
          <w:p w:rsidR="00E050C2" w:rsidRDefault="00E050C2"/>
          <w:p w:rsidR="00E050C2" w:rsidRDefault="00E050C2"/>
          <w:p w:rsidR="00E050C2" w:rsidRDefault="00E050C2">
            <w:pPr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Подарок или взятка?</w:t>
            </w:r>
          </w:p>
          <w:p w:rsidR="00E050C2" w:rsidRDefault="00E050C2">
            <w:pPr>
              <w:jc w:val="center"/>
              <w:rPr>
                <w:b/>
                <w:i/>
                <w:sz w:val="40"/>
                <w:szCs w:val="40"/>
              </w:rPr>
            </w:pPr>
          </w:p>
          <w:p w:rsidR="00E050C2" w:rsidRDefault="00E050C2">
            <w:pPr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В чем отличие?</w:t>
            </w:r>
          </w:p>
          <w:p w:rsidR="00E050C2" w:rsidRDefault="00E050C2">
            <w:pPr>
              <w:pStyle w:val="a6"/>
              <w:ind w:right="272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E050C2" w:rsidRDefault="00E050C2">
            <w:pPr>
              <w:pStyle w:val="a6"/>
              <w:ind w:right="272"/>
              <w:jc w:val="center"/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3048000" cy="2028825"/>
                  <wp:effectExtent l="19050" t="0" r="0" b="0"/>
                  <wp:docPr id="6" name="Рисунок 3" descr="Описание: http://zap-news.net/media/k2/items/cache/7e64c4d2a4a242251ffdaa790b21fa0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zap-news.net/media/k2/items/cache/7e64c4d2a4a242251ffdaa790b21fa0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C2" w:rsidRDefault="00E050C2">
            <w:pPr>
              <w:pStyle w:val="a6"/>
              <w:ind w:right="272"/>
              <w:rPr>
                <w:rFonts w:cs="Times New Roman"/>
                <w:b/>
                <w:i/>
                <w:color w:val="000000"/>
                <w:sz w:val="22"/>
                <w:szCs w:val="22"/>
              </w:rPr>
            </w:pPr>
          </w:p>
          <w:p w:rsidR="00E050C2" w:rsidRDefault="00E050C2">
            <w:pPr>
              <w:pStyle w:val="a6"/>
              <w:ind w:right="272"/>
              <w:jc w:val="center"/>
              <w:rPr>
                <w:rFonts w:cs="Times New Roman"/>
                <w:color w:val="000000"/>
              </w:rPr>
            </w:pPr>
          </w:p>
          <w:p w:rsidR="00E050C2" w:rsidRDefault="00E050C2">
            <w:pPr>
              <w:pStyle w:val="a6"/>
              <w:ind w:right="272"/>
              <w:jc w:val="center"/>
              <w:rPr>
                <w:rFonts w:cs="Times New Roman"/>
                <w:color w:val="000000"/>
              </w:rPr>
            </w:pPr>
          </w:p>
          <w:p w:rsidR="00E050C2" w:rsidRDefault="00E050C2">
            <w:pPr>
              <w:pStyle w:val="a6"/>
              <w:ind w:right="272"/>
              <w:jc w:val="center"/>
              <w:rPr>
                <w:rFonts w:cs="Times New Roman"/>
                <w:color w:val="000000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 xml:space="preserve">     Взятка дается за конкретное действие (бездействие) по службе или за общее благоприятное отношение</w:t>
            </w:r>
            <w:r>
              <w:rPr>
                <w:rFonts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eastAsia="ru-RU"/>
              </w:rPr>
              <w:t>в пользу дающего либо представляемых их лиц.</w:t>
            </w: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 xml:space="preserve">    Разграничение между подарком и взяткой следует </w:t>
            </w:r>
            <w:r>
              <w:rPr>
                <w:rFonts w:cs="Times New Roman"/>
                <w:b/>
                <w:color w:val="002060"/>
                <w:sz w:val="28"/>
                <w:szCs w:val="28"/>
                <w:lang w:eastAsia="ru-RU"/>
              </w:rPr>
              <w:t xml:space="preserve">проводить по мотивации дарения. </w:t>
            </w:r>
            <w:r>
              <w:rPr>
                <w:rFonts w:cs="Times New Roman"/>
                <w:sz w:val="28"/>
                <w:szCs w:val="28"/>
                <w:lang w:eastAsia="ru-RU"/>
              </w:rPr>
              <w:t xml:space="preserve">При этом основным признаком выступает не стоимость вещи или материальная выгода, а то, за что она вручается и принимается. </w:t>
            </w:r>
          </w:p>
          <w:p w:rsidR="00E050C2" w:rsidRDefault="00E050C2">
            <w:pPr>
              <w:pStyle w:val="a6"/>
              <w:ind w:right="272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</w:p>
          <w:p w:rsidR="00E050C2" w:rsidRDefault="00E050C2">
            <w:pPr>
              <w:pStyle w:val="ConsPlusNormal"/>
              <w:jc w:val="both"/>
              <w:rPr>
                <w:sz w:val="28"/>
                <w:szCs w:val="28"/>
              </w:rPr>
            </w:pPr>
            <w:r>
              <w:rPr>
                <w:sz w:val="27"/>
                <w:szCs w:val="27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 xml:space="preserve">Когда у одариваемого возникает </w:t>
            </w:r>
            <w:r>
              <w:rPr>
                <w:b/>
                <w:bCs/>
                <w:color w:val="C00000"/>
                <w:sz w:val="28"/>
                <w:szCs w:val="28"/>
              </w:rPr>
              <w:t>обязанность выполнить в обмен на подарок определенные действия, связанные со служебным положением получателя</w:t>
            </w:r>
            <w:r>
              <w:rPr>
                <w:color w:val="C00000"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подарок будет расценен как взятка. </w:t>
            </w:r>
          </w:p>
          <w:p w:rsidR="00E050C2" w:rsidRDefault="00E050C2">
            <w:pPr>
              <w:rPr>
                <w:sz w:val="28"/>
                <w:szCs w:val="28"/>
              </w:rPr>
            </w:pPr>
          </w:p>
          <w:p w:rsidR="00E050C2" w:rsidRDefault="00E050C2">
            <w:pPr>
              <w:pStyle w:val="a5"/>
              <w:spacing w:before="0" w:after="0"/>
              <w:jc w:val="both"/>
              <w:rPr>
                <w:rFonts w:cs="Times New Roman"/>
                <w:sz w:val="27"/>
                <w:szCs w:val="27"/>
                <w:lang w:eastAsia="ru-RU"/>
              </w:rPr>
            </w:pPr>
          </w:p>
          <w:p w:rsidR="00E050C2" w:rsidRDefault="00E050C2">
            <w:pPr>
              <w:tabs>
                <w:tab w:val="left" w:pos="0"/>
              </w:tabs>
              <w:autoSpaceDE w:val="0"/>
              <w:rPr>
                <w:rFonts w:cs="Calibri"/>
                <w:sz w:val="23"/>
                <w:szCs w:val="23"/>
                <w:lang w:eastAsia="ar-SA"/>
              </w:rPr>
            </w:pPr>
          </w:p>
          <w:p w:rsidR="00E050C2" w:rsidRDefault="00E050C2">
            <w:pPr>
              <w:tabs>
                <w:tab w:val="left" w:pos="0"/>
              </w:tabs>
              <w:autoSpaceDE w:val="0"/>
              <w:rPr>
                <w:sz w:val="23"/>
                <w:szCs w:val="23"/>
              </w:rPr>
            </w:pPr>
          </w:p>
          <w:p w:rsidR="00E050C2" w:rsidRDefault="00E050C2">
            <w:pPr>
              <w:tabs>
                <w:tab w:val="left" w:pos="0"/>
              </w:tabs>
              <w:autoSpaceDE w:val="0"/>
              <w:jc w:val="center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2571750" cy="1743075"/>
                  <wp:effectExtent l="19050" t="0" r="0" b="0"/>
                  <wp:docPr id="5" name="Рисунок 8" descr="Описание: http://www.doanestuart.org/wp-content/uploads/2015/03/mock-t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www.doanestuart.org/wp-content/uploads/2015/03/mock-t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C2" w:rsidRDefault="00E050C2">
            <w:pPr>
              <w:tabs>
                <w:tab w:val="left" w:pos="0"/>
              </w:tabs>
              <w:suppressAutoHyphens/>
              <w:autoSpaceDE w:val="0"/>
              <w:jc w:val="both"/>
              <w:rPr>
                <w:rFonts w:eastAsia="Calibri" w:cs="Calibri"/>
                <w:sz w:val="23"/>
                <w:szCs w:val="23"/>
                <w:lang w:eastAsia="ar-SA"/>
              </w:rPr>
            </w:pPr>
          </w:p>
        </w:tc>
      </w:tr>
    </w:tbl>
    <w:p w:rsidR="00E050C2" w:rsidRDefault="00E050C2"/>
    <w:sectPr w:rsidR="00E050C2" w:rsidSect="00E050C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5F1"/>
    <w:rsid w:val="0070011F"/>
    <w:rsid w:val="007705F1"/>
    <w:rsid w:val="00896D8F"/>
    <w:rsid w:val="00E05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5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5F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050C2"/>
    <w:pPr>
      <w:suppressAutoHyphens/>
      <w:spacing w:before="280" w:after="119"/>
    </w:pPr>
    <w:rPr>
      <w:rFonts w:cs="Calibri"/>
      <w:lang w:eastAsia="ar-SA"/>
    </w:rPr>
  </w:style>
  <w:style w:type="paragraph" w:styleId="a6">
    <w:name w:val="Body Text"/>
    <w:basedOn w:val="a"/>
    <w:link w:val="a7"/>
    <w:uiPriority w:val="99"/>
    <w:semiHidden/>
    <w:unhideWhenUsed/>
    <w:rsid w:val="00E050C2"/>
    <w:pPr>
      <w:widowControl w:val="0"/>
      <w:suppressAutoHyphens/>
      <w:spacing w:after="120"/>
    </w:pPr>
    <w:rPr>
      <w:rFonts w:cs="Tahoma"/>
      <w:kern w:val="2"/>
      <w:lang w:eastAsia="hi-IN" w:bidi="hi-IN"/>
    </w:rPr>
  </w:style>
  <w:style w:type="character" w:customStyle="1" w:styleId="a7">
    <w:name w:val="Основной текст Знак"/>
    <w:basedOn w:val="a0"/>
    <w:link w:val="a6"/>
    <w:uiPriority w:val="99"/>
    <w:semiHidden/>
    <w:rsid w:val="00E050C2"/>
    <w:rPr>
      <w:rFonts w:ascii="Times New Roman" w:eastAsia="Times New Roman" w:hAnsi="Times New Roman" w:cs="Tahoma"/>
      <w:kern w:val="2"/>
      <w:sz w:val="24"/>
      <w:szCs w:val="24"/>
      <w:lang w:eastAsia="hi-IN" w:bidi="hi-IN"/>
    </w:rPr>
  </w:style>
  <w:style w:type="paragraph" w:styleId="a8">
    <w:name w:val="No Spacing"/>
    <w:uiPriority w:val="99"/>
    <w:qFormat/>
    <w:rsid w:val="00E050C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ConsPlusNormal">
    <w:name w:val="ConsPlusNormal"/>
    <w:uiPriority w:val="99"/>
    <w:rsid w:val="00E050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E050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B81298D80AEF8891DAF515DEF18F132372F1D410D51D7AD42082F425DFA0A3DBEADED2D29UDT4M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1B81298D80AEF8891DAF515DEF18F132372F1D410D51D7AD42082F425DFA0A3DBEADED2D29UDT4M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2017-06-08T08:02:00Z</dcterms:created>
  <dcterms:modified xsi:type="dcterms:W3CDTF">2017-06-08T08:20:00Z</dcterms:modified>
</cp:coreProperties>
</file>