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EA" w:rsidRDefault="00F325EA" w:rsidP="00F325EA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F325EA" w:rsidRDefault="00F325EA" w:rsidP="00F325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F325EA" w:rsidRDefault="00F325EA" w:rsidP="00F325EA">
      <w:pPr>
        <w:rPr>
          <w:b/>
          <w:sz w:val="40"/>
          <w:szCs w:val="40"/>
        </w:rPr>
      </w:pPr>
    </w:p>
    <w:p w:rsidR="00F325EA" w:rsidRDefault="00F325EA" w:rsidP="00F325EA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05.04.2019 г                                           №  8 (247)</w:t>
      </w:r>
    </w:p>
    <w:p w:rsidR="00F325EA" w:rsidRDefault="00F325EA" w:rsidP="00F325EA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F325EA" w:rsidRDefault="00F325EA" w:rsidP="00F325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F325EA" w:rsidRDefault="00F325EA" w:rsidP="00F325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F325EA" w:rsidRDefault="00F325EA" w:rsidP="00F325EA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F325EA" w:rsidRDefault="00F325EA" w:rsidP="00F325EA">
      <w:pPr>
        <w:rPr>
          <w:b/>
          <w:sz w:val="40"/>
          <w:szCs w:val="40"/>
        </w:rPr>
      </w:pPr>
    </w:p>
    <w:p w:rsidR="00BB1F1F" w:rsidRDefault="00BB1F1F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/>
    <w:p w:rsidR="00F325EA" w:rsidRDefault="00F325EA" w:rsidP="00F32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АДМИНИСТРАЦИЯ БЕРГУЛЬСКОГО СЕЛЬСОВЕТА               СЕВЕРНОГО РАЙОНА</w:t>
      </w:r>
    </w:p>
    <w:p w:rsidR="00F325EA" w:rsidRDefault="00F325EA" w:rsidP="00F32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325EA" w:rsidRDefault="00F325EA" w:rsidP="00F32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25EA" w:rsidRDefault="00F325EA" w:rsidP="00F32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27.03.2019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с. Бергуль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№  17</w:t>
      </w:r>
    </w:p>
    <w:p w:rsidR="00F325EA" w:rsidRDefault="00F325EA" w:rsidP="00F32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санкционирования оплаты</w:t>
      </w:r>
    </w:p>
    <w:p w:rsidR="00F325EA" w:rsidRDefault="00F325EA" w:rsidP="00F32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обязательств по расходам получателей средств местного бюджета Бергульского сельсовета 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субвенций, имеющих целевое назначение</w:t>
      </w:r>
    </w:p>
    <w:p w:rsidR="00F325EA" w:rsidRPr="00782866" w:rsidRDefault="00F325EA" w:rsidP="00F325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866">
        <w:rPr>
          <w:rFonts w:ascii="Times New Roman" w:hAnsi="Times New Roman" w:cs="Times New Roman"/>
          <w:sz w:val="28"/>
          <w:szCs w:val="28"/>
        </w:rPr>
        <w:t xml:space="preserve">В соответствии с пунктом 5 </w:t>
      </w:r>
      <w:hyperlink r:id="rId4" w:history="1">
        <w:r w:rsidRPr="0078286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219</w:t>
        </w:r>
      </w:hyperlink>
      <w:r w:rsidRPr="007828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пункта 2.1.10 Соглашения об осуществлении Управлением Федерального казначейства по Новосибирской области отдельных функций по исполнению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78286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при кассовом обслуживании исполнения бюджета органами федерального казначейства от</w:t>
      </w:r>
      <w:r>
        <w:rPr>
          <w:rFonts w:ascii="Times New Roman" w:hAnsi="Times New Roman" w:cs="Times New Roman"/>
          <w:sz w:val="28"/>
          <w:szCs w:val="28"/>
        </w:rPr>
        <w:t xml:space="preserve"> 08.09.2017 № 1140</w:t>
      </w:r>
      <w:r w:rsidRPr="00782866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782866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proofErr w:type="gramEnd"/>
    </w:p>
    <w:p w:rsidR="00F325EA" w:rsidRPr="00782866" w:rsidRDefault="00F325EA" w:rsidP="00F32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8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25EA" w:rsidRDefault="00F325EA" w:rsidP="00F325EA">
      <w:pPr>
        <w:ind w:firstLine="539"/>
        <w:contextualSpacing/>
        <w:jc w:val="both"/>
        <w:rPr>
          <w:rFonts w:cs="Times New Roman"/>
          <w:szCs w:val="28"/>
        </w:rPr>
      </w:pPr>
      <w:r w:rsidRPr="00782866">
        <w:rPr>
          <w:rFonts w:cs="Times New Roman"/>
          <w:szCs w:val="28"/>
        </w:rPr>
        <w:t>1. </w:t>
      </w:r>
      <w:proofErr w:type="gramStart"/>
      <w:r w:rsidRPr="00782866">
        <w:rPr>
          <w:rFonts w:cs="Times New Roman"/>
          <w:szCs w:val="28"/>
        </w:rPr>
        <w:t xml:space="preserve">Установить, что санкционирование </w:t>
      </w:r>
      <w:r>
        <w:rPr>
          <w:rFonts w:cs="Times New Roman"/>
          <w:szCs w:val="28"/>
        </w:rPr>
        <w:t xml:space="preserve"> </w:t>
      </w:r>
      <w:r w:rsidRPr="00782866">
        <w:rPr>
          <w:rFonts w:cs="Times New Roman"/>
          <w:szCs w:val="28"/>
        </w:rPr>
        <w:t xml:space="preserve">оплаты денежных обязательств по расходам получателей средств </w:t>
      </w:r>
      <w:r>
        <w:rPr>
          <w:rFonts w:cs="Times New Roman"/>
          <w:szCs w:val="28"/>
        </w:rPr>
        <w:t>мес</w:t>
      </w:r>
      <w:r w:rsidRPr="00782866">
        <w:rPr>
          <w:rFonts w:cs="Times New Roman"/>
          <w:szCs w:val="28"/>
        </w:rPr>
        <w:t>тного бюджета</w:t>
      </w:r>
      <w:r>
        <w:rPr>
          <w:rFonts w:cs="Times New Roman"/>
          <w:szCs w:val="28"/>
        </w:rPr>
        <w:t xml:space="preserve"> Бергульского сельсовета Северного района</w:t>
      </w:r>
      <w:r w:rsidRPr="00782866">
        <w:rPr>
          <w:rFonts w:cs="Times New Roman"/>
          <w:szCs w:val="28"/>
        </w:rPr>
        <w:t xml:space="preserve">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субвенций, имеющих целевое назначение, осуществляется в порядке, аналогичном установленному </w:t>
      </w:r>
      <w:r>
        <w:rPr>
          <w:rFonts w:cs="Times New Roman"/>
          <w:szCs w:val="28"/>
        </w:rPr>
        <w:t xml:space="preserve"> </w:t>
      </w:r>
      <w:r w:rsidRPr="00782866">
        <w:rPr>
          <w:rFonts w:cs="Times New Roman"/>
          <w:szCs w:val="28"/>
        </w:rPr>
        <w:t>Порядком проведения</w:t>
      </w:r>
      <w:r>
        <w:rPr>
          <w:rFonts w:cs="Times New Roman"/>
          <w:szCs w:val="28"/>
        </w:rPr>
        <w:t xml:space="preserve"> </w:t>
      </w:r>
      <w:r w:rsidRPr="00782866">
        <w:rPr>
          <w:rFonts w:cs="Times New Roman"/>
          <w:szCs w:val="28"/>
        </w:rPr>
        <w:t xml:space="preserve"> санкционирования оплаты денежных обязательств по расходам получателей средств бюджета субъекта Российской Федерации, в целях</w:t>
      </w:r>
      <w:r>
        <w:rPr>
          <w:rFonts w:cs="Times New Roman"/>
          <w:szCs w:val="28"/>
        </w:rPr>
        <w:t xml:space="preserve"> </w:t>
      </w:r>
      <w:r w:rsidRPr="00782866">
        <w:rPr>
          <w:rFonts w:cs="Times New Roman"/>
          <w:szCs w:val="28"/>
        </w:rPr>
        <w:t xml:space="preserve"> </w:t>
      </w:r>
      <w:proofErr w:type="spellStart"/>
      <w:r w:rsidRPr="00782866">
        <w:rPr>
          <w:rFonts w:cs="Times New Roman"/>
          <w:szCs w:val="28"/>
        </w:rPr>
        <w:t>софинансирования</w:t>
      </w:r>
      <w:proofErr w:type="spellEnd"/>
      <w:r>
        <w:rPr>
          <w:rFonts w:cs="Times New Roman"/>
          <w:szCs w:val="28"/>
        </w:rPr>
        <w:t xml:space="preserve"> </w:t>
      </w:r>
      <w:r w:rsidRPr="00782866">
        <w:rPr>
          <w:rFonts w:cs="Times New Roman"/>
          <w:szCs w:val="28"/>
        </w:rPr>
        <w:t xml:space="preserve"> которых</w:t>
      </w:r>
      <w:proofErr w:type="gramEnd"/>
      <w:r w:rsidRPr="00782866">
        <w:rPr>
          <w:rFonts w:cs="Times New Roman"/>
          <w:szCs w:val="28"/>
        </w:rPr>
        <w:t xml:space="preserve"> предоставляется субсидия из федерального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</w:t>
      </w:r>
    </w:p>
    <w:p w:rsidR="00F325EA" w:rsidRDefault="00F325EA" w:rsidP="00F325EA">
      <w:pPr>
        <w:ind w:firstLine="539"/>
        <w:contextualSpacing/>
        <w:jc w:val="both"/>
        <w:rPr>
          <w:rFonts w:cs="Times New Roman"/>
          <w:szCs w:val="28"/>
        </w:rPr>
      </w:pPr>
      <w:r w:rsidRPr="00782866">
        <w:rPr>
          <w:rFonts w:cs="Times New Roman"/>
          <w:szCs w:val="28"/>
        </w:rPr>
        <w:t>1) 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«&lt;&gt;»);</w:t>
      </w:r>
    </w:p>
    <w:p w:rsidR="00F325EA" w:rsidRDefault="00F325EA" w:rsidP="00F325EA">
      <w:pPr>
        <w:ind w:firstLine="539"/>
        <w:contextualSpacing/>
        <w:jc w:val="both"/>
        <w:rPr>
          <w:rFonts w:cs="Times New Roman"/>
          <w:szCs w:val="28"/>
        </w:rPr>
      </w:pPr>
      <w:r w:rsidRPr="00782866">
        <w:rPr>
          <w:rFonts w:cs="Times New Roman"/>
          <w:szCs w:val="28"/>
        </w:rPr>
        <w:t>2) кодов классификации операций сектора государственного управления (КОСГУ) в назначении платежа в формате «КОСГУ ХХХ».</w:t>
      </w:r>
    </w:p>
    <w:p w:rsidR="00F325EA" w:rsidRDefault="00F325EA" w:rsidP="00F325E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2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072FC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F072FC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05.07.2018</w:t>
      </w:r>
      <w:r w:rsidRPr="00F072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F072FC">
        <w:rPr>
          <w:rFonts w:ascii="Times New Roman" w:hAnsi="Times New Roman" w:cs="Times New Roman"/>
          <w:sz w:val="28"/>
          <w:szCs w:val="28"/>
        </w:rPr>
        <w:t xml:space="preserve"> «Об утверждении Порядка санкционирования оплаты денежных обязательств по расходам получателей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F072FC">
        <w:rPr>
          <w:rFonts w:ascii="Times New Roman" w:hAnsi="Times New Roman" w:cs="Times New Roman"/>
          <w:sz w:val="28"/>
          <w:szCs w:val="28"/>
        </w:rPr>
        <w:t xml:space="preserve"> </w:t>
      </w:r>
      <w:r w:rsidRPr="00F072FC">
        <w:rPr>
          <w:rFonts w:ascii="Times New Roman" w:hAnsi="Times New Roman" w:cs="Times New Roman"/>
          <w:sz w:val="28"/>
          <w:szCs w:val="28"/>
        </w:rPr>
        <w:lastRenderedPageBreak/>
        <w:t>Северного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назначение».</w:t>
      </w:r>
      <w:proofErr w:type="gramEnd"/>
    </w:p>
    <w:p w:rsidR="00F325EA" w:rsidRDefault="00F325EA" w:rsidP="00F325EA">
      <w:pPr>
        <w:jc w:val="both"/>
        <w:rPr>
          <w:szCs w:val="28"/>
        </w:rPr>
      </w:pPr>
      <w:r>
        <w:rPr>
          <w:rFonts w:cs="Times New Roman"/>
          <w:szCs w:val="28"/>
        </w:rPr>
        <w:t xml:space="preserve">      3.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постановления  оставляю  за  собой.</w:t>
      </w:r>
    </w:p>
    <w:p w:rsidR="00F325EA" w:rsidRDefault="00F325EA" w:rsidP="00F325EA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EA" w:rsidRDefault="00F325EA" w:rsidP="00F325E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сельсовета Северного</w:t>
      </w:r>
    </w:p>
    <w:p w:rsidR="00F325EA" w:rsidRPr="00782866" w:rsidRDefault="00F325EA" w:rsidP="00F325E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И.А.Трофимов</w:t>
      </w:r>
    </w:p>
    <w:p w:rsidR="00F325EA" w:rsidRPr="00782866" w:rsidRDefault="00F325EA" w:rsidP="00F325EA">
      <w:pPr>
        <w:pStyle w:val="a4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864B72" w:rsidRDefault="00F325EA" w:rsidP="00F325EA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квартал 201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F325EA" w:rsidRPr="00864B72" w:rsidTr="00CF0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F325EA" w:rsidRPr="00864B72" w:rsidTr="00CF01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325EA" w:rsidRPr="00864B72" w:rsidTr="00CF0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422096,39</w:t>
            </w:r>
          </w:p>
        </w:tc>
      </w:tr>
      <w:tr w:rsidR="00F325EA" w:rsidRPr="00864B72" w:rsidTr="00CF0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109392,18</w:t>
            </w:r>
          </w:p>
        </w:tc>
      </w:tr>
      <w:tr w:rsidR="00F325EA" w:rsidRPr="00864B72" w:rsidTr="00CF01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eastAsia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5EA" w:rsidRPr="00864B72" w:rsidRDefault="00F325EA" w:rsidP="00CF01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140191,23</w:t>
            </w:r>
          </w:p>
        </w:tc>
      </w:tr>
    </w:tbl>
    <w:p w:rsidR="00F325EA" w:rsidRDefault="00F325EA" w:rsidP="00F325EA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325EA" w:rsidRPr="00864B72" w:rsidRDefault="00F325EA" w:rsidP="00F325EA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Глава Бергульского сельсовета</w:t>
      </w:r>
    </w:p>
    <w:p w:rsidR="00F325EA" w:rsidRPr="00864B72" w:rsidRDefault="00F325EA" w:rsidP="00F325EA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F325EA" w:rsidRPr="00864B72" w:rsidRDefault="00F325EA" w:rsidP="00F325EA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jc w:val="center"/>
        <w:rPr>
          <w:b/>
          <w:szCs w:val="28"/>
        </w:rPr>
      </w:pPr>
      <w:r>
        <w:rPr>
          <w:rFonts w:eastAsia="Times New Roman" w:cs="Times New Roman"/>
          <w:b/>
          <w:szCs w:val="28"/>
        </w:rPr>
        <w:t>АДМИНИСТРАЦИЯ</w:t>
      </w:r>
      <w:r>
        <w:rPr>
          <w:b/>
          <w:szCs w:val="28"/>
        </w:rPr>
        <w:t xml:space="preserve"> БЕРГУЛЬСКОГО СЕЛЬСОВЕТА</w:t>
      </w:r>
    </w:p>
    <w:p w:rsidR="00F325EA" w:rsidRDefault="00F325EA" w:rsidP="00F325EA">
      <w:pPr>
        <w:jc w:val="center"/>
        <w:rPr>
          <w:rFonts w:eastAsia="Times New Roman" w:cs="Times New Roman"/>
          <w:b/>
          <w:szCs w:val="28"/>
        </w:rPr>
      </w:pPr>
      <w:r>
        <w:rPr>
          <w:b/>
          <w:szCs w:val="28"/>
        </w:rPr>
        <w:t>Северного района Новосибирской области</w:t>
      </w:r>
    </w:p>
    <w:p w:rsidR="00F325EA" w:rsidRDefault="00F325EA" w:rsidP="00F325EA">
      <w:pPr>
        <w:jc w:val="center"/>
        <w:rPr>
          <w:rFonts w:eastAsia="Times New Roman" w:cs="Times New Roman"/>
          <w:b/>
          <w:szCs w:val="28"/>
        </w:rPr>
      </w:pPr>
    </w:p>
    <w:p w:rsidR="00F325EA" w:rsidRDefault="00F325EA" w:rsidP="00F325EA">
      <w:pPr>
        <w:jc w:val="center"/>
        <w:rPr>
          <w:rFonts w:eastAsia="Times New Roman" w:cs="Times New Roman"/>
          <w:b/>
          <w:szCs w:val="28"/>
        </w:rPr>
      </w:pPr>
      <w:proofErr w:type="gramStart"/>
      <w:r>
        <w:rPr>
          <w:rFonts w:eastAsia="Times New Roman" w:cs="Times New Roman"/>
          <w:b/>
          <w:szCs w:val="28"/>
        </w:rPr>
        <w:t>П</w:t>
      </w:r>
      <w:proofErr w:type="gramEnd"/>
      <w:r>
        <w:rPr>
          <w:rFonts w:eastAsia="Times New Roman" w:cs="Times New Roman"/>
          <w:b/>
          <w:szCs w:val="28"/>
        </w:rPr>
        <w:t xml:space="preserve"> О С Т А Н О В Л Е Н И Е   </w:t>
      </w:r>
    </w:p>
    <w:p w:rsidR="00F325EA" w:rsidRDefault="00F325EA" w:rsidP="00F325EA">
      <w:pPr>
        <w:jc w:val="center"/>
        <w:rPr>
          <w:rFonts w:eastAsia="Times New Roman" w:cs="Times New Roman"/>
          <w:b/>
          <w:szCs w:val="28"/>
        </w:rPr>
      </w:pPr>
    </w:p>
    <w:p w:rsidR="00F325EA" w:rsidRDefault="00F325EA" w:rsidP="00F325EA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05.04.2019                                    с. Бергуль                                       № 24</w:t>
      </w:r>
    </w:p>
    <w:p w:rsidR="00F325EA" w:rsidRDefault="00F325EA" w:rsidP="00F325EA">
      <w:pPr>
        <w:jc w:val="center"/>
        <w:rPr>
          <w:rFonts w:eastAsia="Times New Roman" w:cs="Times New Roman"/>
          <w:b/>
          <w:szCs w:val="28"/>
        </w:rPr>
      </w:pPr>
    </w:p>
    <w:p w:rsidR="00F325EA" w:rsidRDefault="00F325EA" w:rsidP="00F325E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Об исполнении местного  бюджета Бергульского сельсовета </w:t>
      </w:r>
    </w:p>
    <w:p w:rsidR="00F325EA" w:rsidRDefault="00F325EA" w:rsidP="00F325EA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Cs w:val="28"/>
        </w:rPr>
        <w:t xml:space="preserve">Северного района Новосибирской области  за 1 квартал </w:t>
      </w:r>
      <w:r>
        <w:rPr>
          <w:rFonts w:ascii="Calibri" w:eastAsia="Times New Roman" w:hAnsi="Calibri" w:cs="Times New Roman"/>
          <w:b/>
          <w:szCs w:val="28"/>
        </w:rPr>
        <w:t xml:space="preserve">  </w:t>
      </w:r>
      <w:r>
        <w:rPr>
          <w:rFonts w:eastAsia="Times New Roman" w:cs="Times New Roman"/>
          <w:b/>
          <w:szCs w:val="28"/>
        </w:rPr>
        <w:t>2019</w:t>
      </w:r>
    </w:p>
    <w:p w:rsidR="00F325EA" w:rsidRDefault="00F325EA" w:rsidP="00F325EA">
      <w:pPr>
        <w:jc w:val="center"/>
        <w:rPr>
          <w:rFonts w:ascii="Calibri" w:eastAsia="Times New Roman" w:hAnsi="Calibri" w:cs="Times New Roman"/>
          <w:szCs w:val="28"/>
        </w:rPr>
      </w:pPr>
    </w:p>
    <w:p w:rsidR="00F325EA" w:rsidRDefault="00F325EA" w:rsidP="00F325EA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F325EA" w:rsidRDefault="00F325EA" w:rsidP="00F325EA">
      <w:pPr>
        <w:spacing w:line="240" w:lineRule="atLeast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ПОСТАНОВЛЯЕТ:</w:t>
      </w:r>
    </w:p>
    <w:p w:rsidR="00F325EA" w:rsidRDefault="00F325EA" w:rsidP="00F325EA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1 квартал  2019  года по расходам в сумме 1640,7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Cs w:val="28"/>
        </w:rPr>
        <w:t>тыс</w:t>
      </w:r>
      <w:proofErr w:type="gramStart"/>
      <w:r>
        <w:rPr>
          <w:rFonts w:eastAsia="Times New Roman" w:cs="Times New Roman"/>
          <w:szCs w:val="28"/>
        </w:rPr>
        <w:t>.р</w:t>
      </w:r>
      <w:proofErr w:type="gramEnd"/>
      <w:r>
        <w:rPr>
          <w:rFonts w:eastAsia="Times New Roman" w:cs="Times New Roman"/>
          <w:szCs w:val="28"/>
        </w:rPr>
        <w:t>уб., по доходам в сумме 1821,4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Cs w:val="28"/>
        </w:rPr>
        <w:t xml:space="preserve">тыс.руб.  </w:t>
      </w:r>
    </w:p>
    <w:p w:rsidR="00F325EA" w:rsidRDefault="00F325EA" w:rsidP="00F325EA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</w:rPr>
        <w:tab/>
        <w:t>2.</w:t>
      </w:r>
      <w:r>
        <w:rPr>
          <w:rFonts w:eastAsia="Times New Roman" w:cs="Times New Roman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F325EA" w:rsidRDefault="00F325EA" w:rsidP="00F325EA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3. </w:t>
      </w:r>
      <w:proofErr w:type="gramStart"/>
      <w:r>
        <w:rPr>
          <w:rFonts w:eastAsia="Times New Roman" w:cs="Times New Roman"/>
          <w:szCs w:val="28"/>
        </w:rPr>
        <w:t>Контроль за</w:t>
      </w:r>
      <w:proofErr w:type="gramEnd"/>
      <w:r>
        <w:rPr>
          <w:rFonts w:eastAsia="Times New Roman" w:cs="Times New Roman"/>
          <w:szCs w:val="28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F325EA" w:rsidRDefault="00F325EA" w:rsidP="00F325EA">
      <w:pPr>
        <w:jc w:val="both"/>
        <w:rPr>
          <w:rFonts w:ascii="Calibri" w:eastAsia="Times New Roman" w:hAnsi="Calibri" w:cs="Times New Roman"/>
          <w:szCs w:val="28"/>
        </w:rPr>
      </w:pPr>
    </w:p>
    <w:p w:rsidR="00F325EA" w:rsidRDefault="00F325EA" w:rsidP="00F325EA">
      <w:pPr>
        <w:jc w:val="both"/>
        <w:rPr>
          <w:rFonts w:eastAsia="Times New Roman" w:cs="Times New Roman"/>
          <w:sz w:val="24"/>
          <w:szCs w:val="24"/>
        </w:rPr>
      </w:pPr>
    </w:p>
    <w:p w:rsidR="00F325EA" w:rsidRDefault="00F325EA" w:rsidP="00F325EA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Глава  Бергульского  сельсовета</w:t>
      </w:r>
    </w:p>
    <w:p w:rsidR="00F325EA" w:rsidRDefault="00F325EA" w:rsidP="00F325EA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Северного района Новосибирской области                          И.А.Трофимов</w:t>
      </w:r>
    </w:p>
    <w:p w:rsidR="00F325EA" w:rsidRDefault="00F325EA" w:rsidP="00F325EA">
      <w:pPr>
        <w:jc w:val="both"/>
        <w:rPr>
          <w:rFonts w:eastAsia="Times New Roman" w:cs="Times New Roman"/>
          <w:szCs w:val="28"/>
        </w:rPr>
      </w:pPr>
    </w:p>
    <w:p w:rsidR="00F325EA" w:rsidRDefault="00F325EA" w:rsidP="00F325EA">
      <w:pPr>
        <w:jc w:val="both"/>
        <w:rPr>
          <w:rFonts w:eastAsia="Times New Roman" w:cs="Times New Roman"/>
          <w:szCs w:val="28"/>
        </w:rPr>
      </w:pPr>
    </w:p>
    <w:p w:rsidR="00F325EA" w:rsidRDefault="00F325EA" w:rsidP="00F325EA">
      <w:pPr>
        <w:jc w:val="center"/>
        <w:rPr>
          <w:rFonts w:eastAsia="Times New Roman" w:cs="Times New Roman"/>
          <w:b/>
          <w:sz w:val="24"/>
          <w:szCs w:val="24"/>
        </w:rPr>
      </w:pPr>
    </w:p>
    <w:p w:rsidR="00F325EA" w:rsidRDefault="00F325EA" w:rsidP="00F325E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p w:rsidR="00F325EA" w:rsidRDefault="00F325EA" w:rsidP="00F325EA"/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F325EA" w:rsidRPr="002B51B3" w:rsidTr="00CF0135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25EA" w:rsidRPr="002B51B3" w:rsidTr="00CF0135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F325EA" w:rsidRPr="002B51B3" w:rsidTr="00CF013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F325EA" w:rsidRPr="002B51B3" w:rsidTr="00CF0135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5"/>
            <w:r w:rsidRPr="002B51B3">
              <w:rPr>
                <w:rFonts w:ascii="Arial CYR" w:eastAsia="Times New Roman" w:hAnsi="Arial CYR" w:cs="Arial CYR"/>
                <w:sz w:val="20"/>
                <w:szCs w:val="20"/>
              </w:rPr>
              <w:t>на 1 апреля 2019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04/04/19</w:t>
            </w:r>
          </w:p>
        </w:tc>
      </w:tr>
      <w:tr w:rsidR="00F325EA" w:rsidRPr="002B51B3" w:rsidTr="00CF0135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2B51B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325EA" w:rsidRPr="002B51B3" w:rsidTr="00CF0135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5024480200</w:t>
            </w:r>
          </w:p>
        </w:tc>
      </w:tr>
      <w:tr w:rsidR="00F325EA" w:rsidRPr="002B51B3" w:rsidTr="00CF0135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555</w:t>
            </w:r>
          </w:p>
        </w:tc>
      </w:tr>
      <w:tr w:rsidR="00F325EA" w:rsidRPr="002B51B3" w:rsidTr="00CF0135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50644402</w:t>
            </w:r>
          </w:p>
        </w:tc>
      </w:tr>
      <w:tr w:rsidR="00F325EA" w:rsidRPr="002B51B3" w:rsidTr="00CF0135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F325EA" w:rsidRPr="002B51B3" w:rsidTr="00CF013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F325EA" w:rsidRPr="002B51B3" w:rsidTr="00CF0135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325EA" w:rsidRPr="002B51B3" w:rsidTr="00CF013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F325EA" w:rsidRPr="002B51B3" w:rsidTr="00CF013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7 630 600,00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1 821 413,20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5 809 186,80</w:t>
            </w:r>
          </w:p>
        </w:tc>
      </w:tr>
      <w:tr w:rsidR="00F325EA" w:rsidRPr="002B51B3" w:rsidTr="00CF013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23 489,99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87 010,01</w:t>
            </w:r>
          </w:p>
        </w:tc>
      </w:tr>
      <w:tr w:rsidR="00F325EA" w:rsidRPr="002B51B3" w:rsidTr="00CF0135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40 831,17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120 968,83</w:t>
            </w:r>
          </w:p>
        </w:tc>
      </w:tr>
      <w:tr w:rsidR="00F325EA" w:rsidRPr="002B51B3" w:rsidTr="00CF0135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285,29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1 114,71</w:t>
            </w:r>
          </w:p>
        </w:tc>
      </w:tr>
      <w:tr w:rsidR="00F325EA" w:rsidRPr="002B51B3" w:rsidTr="00CF0135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59 866,92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180 233,08</w:t>
            </w:r>
          </w:p>
        </w:tc>
      </w:tr>
      <w:tr w:rsidR="00F325EA" w:rsidRPr="002B51B3" w:rsidTr="00CF0135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-27 900,00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-8 035,88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325EA" w:rsidRPr="002B51B3" w:rsidTr="00CF013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3 718,31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3 481,69</w:t>
            </w:r>
          </w:p>
        </w:tc>
      </w:tr>
      <w:tr w:rsidR="00F325EA" w:rsidRPr="002B51B3" w:rsidTr="00CF013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226,40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325EA" w:rsidRPr="002B51B3" w:rsidTr="00CF013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14 030,03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325EA" w:rsidRPr="002B51B3" w:rsidTr="00CF013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325EA" w:rsidRPr="002B51B3" w:rsidTr="00CF013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2 219 900,00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480 800,00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1 739 100,00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F325EA" w:rsidRPr="002B51B3" w:rsidTr="00CF013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69 500,00</w:t>
            </w:r>
          </w:p>
        </w:tc>
      </w:tr>
      <w:tr w:rsidR="00F325EA" w:rsidRPr="002B51B3" w:rsidTr="00CF013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F325EA" w:rsidRPr="002B51B3" w:rsidTr="00CF0135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4 704 700,00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1 180 000,00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3 524 700,00</w:t>
            </w:r>
          </w:p>
        </w:tc>
      </w:tr>
    </w:tbl>
    <w:p w:rsidR="00F325EA" w:rsidRDefault="00F325EA" w:rsidP="00F325EA"/>
    <w:p w:rsidR="00F325EA" w:rsidRDefault="00F325EA" w:rsidP="00F325EA"/>
    <w:tbl>
      <w:tblPr>
        <w:tblW w:w="1074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F325EA" w:rsidRPr="002B51B3" w:rsidTr="00CF0135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25EA" w:rsidRPr="002B51B3" w:rsidTr="00CF0135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25EA" w:rsidRPr="002B51B3" w:rsidTr="00CF0135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3" w:name="RANGE!A13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7 964 013,24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1 640 707,27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6 323 305,97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F325EA" w:rsidRPr="002B51B3" w:rsidTr="00CF013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122 391,92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474 808,08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458 700,00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97 093,76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361 606,24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25 298,16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113 201,84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338 326,45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1 079 673,55</w:t>
            </w:r>
          </w:p>
        </w:tc>
      </w:tr>
      <w:tr w:rsidR="00F325EA" w:rsidRPr="002B51B3" w:rsidTr="00CF013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бюджета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а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рвмках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000 0104 0500570190 244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1 417 900,00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338 326,45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1 079 573,55</w:t>
            </w:r>
          </w:p>
        </w:tc>
      </w:tr>
      <w:tr w:rsidR="00F325EA" w:rsidRPr="002B51B3" w:rsidTr="00CF013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192 185,22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882 914,78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1 075 100,00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192 185,22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882 914,78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822 600,00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151 328,12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671 271,88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39 057,10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209 442,90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142 531,65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190 268,35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142 531,65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190 268,35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18 300,00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135 931,65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171 968,35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3 609,58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6 390,42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3 609,58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6 390,42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1 371,00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829,00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2 228,63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3 671,37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1 890,05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Резерфные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75 282,30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,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отсутстауют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75 282,30</w:t>
            </w:r>
          </w:p>
        </w:tc>
      </w:tr>
      <w:tr w:rsidR="00F325EA" w:rsidRPr="002B51B3" w:rsidTr="00CF013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74 382,30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17 417,70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74 382,30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13 841,56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58 158,44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3 576,14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16 223,86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значения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,з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а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701 082,00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653 707,00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Компенсации выпадающих доходов организациям, предоставляющим населению услуги газоснабжения по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тарифам</w:t>
            </w:r>
            <w:proofErr w:type="gram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,н</w:t>
            </w:r>
            <w:proofErr w:type="gram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е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обеспечивающим возмещение издержек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000 0502 9900003540 244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73 500,00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13 631,01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90 668,99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1 347 031,24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202 648,38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1 144 382,86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142 124,72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797 875,28</w:t>
            </w:r>
          </w:p>
        </w:tc>
      </w:tr>
      <w:tr w:rsidR="00F325EA" w:rsidRPr="002B51B3" w:rsidTr="00CF013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142 124,72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797 875,28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142 124,72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797 875,28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724 300,00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108 060,00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616 240,00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215 700,00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34 064,72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181 635,28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407 031,24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60 523,66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346 507,58</w:t>
            </w:r>
          </w:p>
        </w:tc>
      </w:tr>
      <w:tr w:rsidR="00F325EA" w:rsidRPr="002B51B3" w:rsidTr="00CF013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54 412,91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257 487,09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54 412,91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257 487,09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3 400,00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47 812,91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254 087,09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6 110,75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73 020,49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79 131,24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6 110,75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73 020,49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11 225,00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59 731,24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58 795,49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3 339 200,00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806 476,61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2 532 723,39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2 480 300,00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409 692,25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2 070 607,75</w:t>
            </w:r>
          </w:p>
        </w:tc>
      </w:tr>
      <w:tr w:rsidR="00F325EA" w:rsidRPr="002B51B3" w:rsidTr="00CF013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2 480 300,00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409 692,25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2 070 607,75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2 480 300,00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409 692,25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2 070 607,75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1 905 000,00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324 405,72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1 580 594,28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000 0801 0300370510 119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575 300,00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85 286,53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490 013,47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858 900,00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396 784,36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462 115,64</w:t>
            </w:r>
          </w:p>
        </w:tc>
      </w:tr>
      <w:tr w:rsidR="00F325EA" w:rsidRPr="002B51B3" w:rsidTr="00CF0135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839 900,00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393 027,06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446 872,94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839 900,00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393 027,06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446 872,94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14 143,54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39 856,46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378 883,52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407 016,48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3 757,30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9 242,70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3 757,30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9 242,70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3 003,00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4 997,00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245,70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92 440,20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157 559,80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F325EA" w:rsidRPr="002B51B3" w:rsidTr="00CF0135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F325EA" w:rsidRPr="002B51B3" w:rsidTr="00CF0135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F325EA" w:rsidRPr="002B51B3" w:rsidTr="00CF0135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F325EA" w:rsidRPr="002B51B3" w:rsidTr="00CF0135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-333 413,24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180 705,93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F325EA" w:rsidRDefault="00F325EA" w:rsidP="00F325EA"/>
    <w:tbl>
      <w:tblPr>
        <w:tblW w:w="10432" w:type="dxa"/>
        <w:tblInd w:w="108" w:type="dxa"/>
        <w:tblLook w:val="04A0"/>
      </w:tblPr>
      <w:tblGrid>
        <w:gridCol w:w="3159"/>
        <w:gridCol w:w="601"/>
        <w:gridCol w:w="1982"/>
        <w:gridCol w:w="1594"/>
        <w:gridCol w:w="1428"/>
        <w:gridCol w:w="1668"/>
      </w:tblGrid>
      <w:tr w:rsidR="00F325EA" w:rsidRPr="002B51B3" w:rsidTr="00CF0135">
        <w:trPr>
          <w:trHeight w:val="300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2B51B3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F325EA" w:rsidRPr="002B51B3" w:rsidTr="00CF0135">
        <w:trPr>
          <w:trHeight w:val="270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25EA" w:rsidRPr="002B51B3" w:rsidTr="00CF0135">
        <w:trPr>
          <w:trHeight w:val="184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325EA" w:rsidRPr="002B51B3" w:rsidTr="00CF0135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8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46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7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F325EA" w:rsidRPr="002B51B3" w:rsidTr="00CF0135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4" w:name="RANGE!A12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-180 705,93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514 119,17</w:t>
            </w:r>
          </w:p>
        </w:tc>
      </w:tr>
      <w:tr w:rsidR="00F325EA" w:rsidRPr="002B51B3" w:rsidTr="00CF0135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325EA" w:rsidRPr="002B51B3" w:rsidTr="00CF0135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333 413,24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-180 705,93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514 119,17</w:t>
            </w:r>
          </w:p>
        </w:tc>
      </w:tr>
      <w:tr w:rsidR="00F325EA" w:rsidRPr="002B51B3" w:rsidTr="00CF0135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-7 630 600,00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-1 821 413,20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325EA" w:rsidRPr="002B51B3" w:rsidTr="00CF0135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-7 630 600,00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-1 821 413,20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325EA" w:rsidRPr="002B51B3" w:rsidTr="00CF0135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7 964 013,24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1 640 707,27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325EA" w:rsidRPr="002B51B3" w:rsidTr="00CF0135">
        <w:trPr>
          <w:trHeight w:val="405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B51B3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7 964 013,24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1 640 707,27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5EA" w:rsidRPr="002B51B3" w:rsidRDefault="00F325EA" w:rsidP="00CF013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325EA" w:rsidRPr="002B51B3" w:rsidTr="00CF0135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B20"/>
            <w:bookmarkEnd w:id="5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F325EA" w:rsidRPr="002B51B3" w:rsidTr="00CF0135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25EA" w:rsidRPr="002B51B3" w:rsidRDefault="00F325EA" w:rsidP="00CF0135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B51B3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6" w:name="RANGE!E21"/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  <w:bookmarkEnd w:id="6"/>
          </w:p>
        </w:tc>
      </w:tr>
      <w:tr w:rsidR="00F325EA" w:rsidRPr="002B51B3" w:rsidTr="00CF0135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F325EA" w:rsidRPr="002B51B3" w:rsidTr="00CF0135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25EA" w:rsidRPr="002B51B3" w:rsidRDefault="00F325EA" w:rsidP="00CF0135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F325EA" w:rsidRPr="002B51B3" w:rsidTr="00CF0135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7" w:name="RANGE!B27"/>
            <w:bookmarkEnd w:id="7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F325EA" w:rsidRPr="002B51B3" w:rsidTr="00CF0135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25EA" w:rsidRPr="002B51B3" w:rsidRDefault="00F325EA" w:rsidP="00CF0135">
                  <w:pPr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B51B3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25EA" w:rsidRPr="002B51B3" w:rsidTr="00CF0135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B51B3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F325EA" w:rsidRPr="002B51B3" w:rsidTr="00CF0135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EA" w:rsidRPr="002B51B3" w:rsidRDefault="00F325EA" w:rsidP="00CF013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325EA" w:rsidRDefault="00F325EA" w:rsidP="00F325EA"/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Pr="00782866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F325EA" w:rsidRDefault="00F325EA" w:rsidP="00F325EA"/>
    <w:p w:rsidR="00F325EA" w:rsidRDefault="00F325EA"/>
    <w:sectPr w:rsidR="00F325EA" w:rsidSect="00F325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EA"/>
    <w:rsid w:val="00BB1F1F"/>
    <w:rsid w:val="00F3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E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5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25E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F3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F325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325EA"/>
    <w:rPr>
      <w:color w:val="800080"/>
      <w:u w:val="single"/>
    </w:rPr>
  </w:style>
  <w:style w:type="paragraph" w:customStyle="1" w:styleId="xl63">
    <w:name w:val="xl63"/>
    <w:basedOn w:val="a"/>
    <w:rsid w:val="00F325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325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F325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325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325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F325E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325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325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F325E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F325E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F325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F325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F325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F325E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F325E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F325E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F325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F325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325E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5EA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84">
    <w:name w:val="xl84"/>
    <w:basedOn w:val="a"/>
    <w:rsid w:val="00F325E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F325E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F325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F325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F325E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F325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F325E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FD474FE43C8EC95D7B53D6DD3D10D21DF2323111663EF5A02D6994F02BD594319F9548FE50h0Y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3970</Words>
  <Characters>22632</Characters>
  <Application>Microsoft Office Word</Application>
  <DocSecurity>0</DocSecurity>
  <Lines>188</Lines>
  <Paragraphs>53</Paragraphs>
  <ScaleCrop>false</ScaleCrop>
  <Company/>
  <LinksUpToDate>false</LinksUpToDate>
  <CharactersWithSpaces>26549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2019-04-05T07:24:00Z</dcterms:created>
  <dcterms:modified xsi:type="dcterms:W3CDTF">2019-04-05T07:27:00Z</dcterms:modified>
</cp:coreProperties>
</file>